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1441450</wp:posOffset>
                </wp:positionV>
                <wp:extent cx="2774823" cy="3651083"/>
                <wp:effectExtent l="0" t="0" r="0" b="0"/>
                <wp:wrapNone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74823" cy="3651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70.9pt;mso-position-horizontal:absolute;mso-position-vertical-relative:text;margin-top:113.5pt;mso-position-vertical:absolute;width:218.5pt;height:287.5pt;mso-wrap-distance-left:9.0pt;mso-wrap-distance-top:0.0pt;mso-wrap-distance-right:9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Паспорт</w:t>
      </w:r>
      <w:r>
        <w:rPr>
          <w:rFonts w:ascii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Ванна для груминга </w:t>
      </w:r>
      <w:bookmarkStart w:id="0" w:name="_Hlk80784378"/>
      <w:r>
        <w:rPr>
          <w:rFonts w:ascii="Times New Roman" w:hAnsi="Times New Roman" w:cs="Times New Roman"/>
          <w:b/>
          <w:bCs/>
          <w:sz w:val="48"/>
          <w:szCs w:val="48"/>
        </w:rPr>
        <w:t xml:space="preserve">SPA + функция OZON</w:t>
      </w:r>
      <w:bookmarkEnd w:id="0"/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/>
    </w:p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  <w:r/>
    </w:p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  <w:r/>
    </w:p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  <w:r/>
    </w:p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  <w:r/>
    </w:p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81175" cy="54281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12375" cy="55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0.2pt;height:42.7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4966335</wp:posOffset>
                </wp:positionV>
                <wp:extent cx="2638425" cy="2028825"/>
                <wp:effectExtent l="0" t="0" r="28575" b="28575"/>
                <wp:wrapNone/>
                <wp:docPr id="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38425" cy="202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9264;o:allowoverlap:true;o:allowincell:true;mso-position-horizontal-relative:page;mso-position-horizontal:right;mso-position-vertical-relative:text;margin-top:391.0pt;mso-position-vertical:absolute;width:207.8pt;height:159.8pt;mso-wrap-distance-left:9.0pt;mso-wrap-distance-top:0.0pt;mso-wrap-distance-right:9.0pt;mso-wrap-distance-bottom:0.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48"/>
          <w:szCs w:val="48"/>
        </w:rPr>
        <w:br w:type="page" w:clear="all"/>
      </w:r>
      <w:r/>
    </w:p>
    <w:sdt>
      <w:sdtPr>
        <w15:appearance w15:val="boundingBox"/>
        <w:id w:val="-1988619283"/>
        <w:docPartObj>
          <w:docPartGallery w:val="Table of Contents"/>
          <w:docPartUnique w:val="true"/>
        </w:docPartObj>
        <w:rPr/>
      </w:sdtPr>
      <w:sdtContent>
        <w:p>
          <w:pPr>
            <w:contextualSpacing/>
            <w:ind w:left="360" w:hanging="360"/>
            <w:jc w:val="center"/>
            <w:spacing w:after="240" w:line="240" w:lineRule="auto"/>
            <w:tabs>
              <w:tab w:val="left" w:pos="1026" w:leader="none"/>
            </w:tabs>
            <w:rPr>
              <w:rFonts w:ascii="Times New Roman" w:hAnsi="Times New Roman"/>
              <w:b/>
              <w:bCs/>
              <w:caps/>
              <w:sz w:val="28"/>
              <w:szCs w:val="28"/>
            </w:rPr>
            <w:outlineLvl w:val="0"/>
          </w:pPr>
          <w:r/>
          <w:bookmarkStart w:id="1" w:name="_Toc78456317"/>
          <w:r>
            <w:rPr>
              <w:rFonts w:ascii="Times New Roman" w:hAnsi="Times New Roman"/>
              <w:b/>
              <w:bCs/>
              <w:caps/>
              <w:sz w:val="28"/>
              <w:szCs w:val="28"/>
            </w:rPr>
            <w:t xml:space="preserve">СОДЕРЖАНИЕ</w:t>
          </w:r>
          <w:bookmarkEnd w:id="1"/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>
            <w:rPr>
              <w:rFonts w:ascii="Times New Roman" w:hAnsi="Times New Roman" w:cs="Calibri"/>
              <w:sz w:val="28"/>
              <w:szCs w:val="20"/>
            </w:rPr>
            <w:fldChar w:fldCharType="begin"/>
          </w:r>
          <w:r>
            <w:rPr>
              <w:rFonts w:ascii="Times New Roman" w:hAnsi="Times New Roman" w:cs="Calibri"/>
              <w:sz w:val="28"/>
              <w:szCs w:val="20"/>
            </w:rPr>
            <w:instrText xml:space="preserve"> TOC \o "1-1" \h \z \u </w:instrText>
          </w:r>
          <w:r>
            <w:rPr>
              <w:rFonts w:ascii="Times New Roman" w:hAnsi="Times New Roman" w:cs="Calibri"/>
              <w:sz w:val="28"/>
              <w:szCs w:val="20"/>
            </w:rPr>
            <w:fldChar w:fldCharType="separate"/>
          </w:r>
          <w:hyperlink w:tooltip="#_Toc78456317" w:anchor="_Toc78456317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СОДЕРЖАНИЕ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fldChar w:fldCharType="begin"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instrText xml:space="preserve"> PAGEREF _Toc78456317 \h </w:instrTex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fldChar w:fldCharType="separate"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3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fldChar w:fldCharType="end"/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18" w:anchor="_Toc78456318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1.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Назначение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fldChar w:fldCharType="begin"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instrText xml:space="preserve"> PAGEREF _Toc78456318 \h </w:instrTex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fldChar w:fldCharType="separate"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4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fldChar w:fldCharType="end"/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19" w:anchor="_Toc78456319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2.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ОПИСАНИЕ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4-6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0" w:anchor="_Toc78456320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3.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ТЕХНИЧЕСКИЕ ХАРАКТЕРИСТИКИ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7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1" w:anchor="_Toc78456321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4.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МЕРЫ БЕЗОПАСНОСТИ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7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2" w:anchor="_Toc78456322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  <w:lang w:eastAsia="ru-RU"/>
              </w:rPr>
              <w:t xml:space="preserve">5.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КОМПЛЕКТНОСТЬ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8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3" w:anchor="_Toc78456323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  <w:lang w:eastAsia="ru-RU"/>
              </w:rPr>
              <w:t xml:space="preserve">6.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  <w:lang w:eastAsia="ru-RU"/>
              </w:rPr>
              <w:t xml:space="preserve">Указания по сборке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8-9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4" w:anchor="_Toc78456324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7.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РЕКОМЕНДАЦИИ ПО ЭКСПЛУАТАЦИИ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10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5" w:anchor="_Toc78456325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8.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ПРАВИЛА ТРАНСПОРТИРОВКИ И ХРАНЕНИЯ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10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6" w:anchor="_Toc78456326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9.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ПоРЯДОК И УСЛОВИЯ УТИЛИЗАЦИИ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11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7" w:anchor="_Toc78456327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10.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ГАРАНТИЙНЫЕ ОБЯЗАТЕЛЬСТВА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11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8" w:anchor="_Toc78456328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11.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СВИДЕТЕЛЬСТВО О ПРИЕМКЕ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12</w:t>
            </w:r>
          </w:hyperlink>
          <w:r/>
          <w:r/>
        </w:p>
        <w:p>
          <w:pPr>
            <w:spacing w:after="0" w:line="240" w:lineRule="auto"/>
            <w:tabs>
              <w:tab w:val="left" w:pos="426" w:leader="none"/>
              <w:tab w:val="left" w:pos="993" w:leader="none"/>
              <w:tab w:val="right" w:pos="9639" w:leader="dot"/>
            </w:tabs>
            <w:rPr>
              <w:rFonts w:eastAsiaTheme="minorEastAsia"/>
              <w:color w:val="000000" w:themeColor="text1"/>
              <w:lang w:eastAsia="ru-RU"/>
            </w:rPr>
          </w:pPr>
          <w:r/>
          <w:hyperlink w:tooltip="#_Toc78456329" w:anchor="_Toc78456329" w:history="1"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12.</w:t>
            </w:r>
            <w:r>
              <w:rPr>
                <w:rFonts w:eastAsiaTheme="minorEastAsia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0"/>
              </w:rPr>
              <w:t xml:space="preserve">ГАРАНТИЙНЫЙ ТАЛОН НА РЕМОНТ (ЗАМЕНУ) В ТЕЧЕНИЕ ГАРАНТИЙНОГО СРОКА</w:t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ab/>
            </w:r>
            <w:r>
              <w:rPr>
                <w:rFonts w:ascii="Times New Roman" w:hAnsi="Times New Roman" w:cs="Calibri"/>
                <w:bCs/>
                <w:caps/>
                <w:color w:val="000000" w:themeColor="text1"/>
                <w:sz w:val="28"/>
                <w:szCs w:val="20"/>
              </w:rPr>
              <w:t xml:space="preserve">12</w:t>
            </w:r>
          </w:hyperlink>
          <w:r/>
          <w:r/>
        </w:p>
        <w:p>
          <w:pPr>
            <w:ind w:firstLine="426"/>
            <w:spacing w:after="200" w:line="276" w:lineRule="auto"/>
          </w:pPr>
          <w:r>
            <w:rPr>
              <w:rFonts w:ascii="Times New Roman" w:hAnsi="Times New Roman" w:cs="Calibri"/>
              <w:bCs/>
              <w:caps/>
              <w:sz w:val="28"/>
              <w:szCs w:val="20"/>
            </w:rPr>
            <w:fldChar w:fldCharType="end"/>
          </w:r>
          <w:r/>
        </w:p>
      </w:sdtContent>
    </w:sdt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  <w:r/>
    </w:p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  <w:r/>
    </w:p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  <w:r/>
    </w:p>
    <w:p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2" w:name="_Hlk80796158"/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Ванна для груминга SPA + функция OZON</w:t>
      </w:r>
      <w:bookmarkEnd w:id="2"/>
      <w:r/>
    </w:p>
    <w:p>
      <w:pPr>
        <w:pStyle w:val="685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АЗНАЧЕНИЕ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/>
    </w:p>
    <w:p>
      <w:pPr>
        <w:pStyle w:val="68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Ванна для груминга SPA + функция OZON предназначена для проведения процедур гидромассажа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озон терапии</w:t>
      </w:r>
      <w:r>
        <w:rPr>
          <w:rFonts w:ascii="Times New Roman" w:hAnsi="Times New Roman" w:cs="Times New Roman"/>
          <w:sz w:val="24"/>
          <w:szCs w:val="24"/>
        </w:rPr>
        <w:t xml:space="preserve">. Функция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OZON</w:t>
      </w:r>
      <w:r>
        <w:rPr>
          <w:rFonts w:ascii="Times New Roman" w:hAnsi="Times New Roman" w:cs="Times New Roman"/>
          <w:sz w:val="24"/>
          <w:szCs w:val="24"/>
        </w:rPr>
        <w:t xml:space="preserve"> улучшает не только состояние шерсти животного, делая ее нежной и пушистой, но и способствует расслаблению, успокоению, улучшению состояния кожных покровов, за счет ускорения кровообращения, а также заживлению ран и выводу из организма шлаков и токсинов.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85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ПИСАНИЕ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/>
    </w:p>
    <w:p>
      <w:pPr>
        <w:pStyle w:val="685"/>
        <w:numPr>
          <w:ilvl w:val="1"/>
          <w:numId w:val="4"/>
        </w:numPr>
        <w:ind w:left="993" w:hanging="633"/>
        <w:jc w:val="both"/>
        <w:tabs>
          <w:tab w:val="left" w:pos="3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Изделие соответствует требованиям настоящего паспорта и технической документации.</w:t>
      </w:r>
      <w:r/>
    </w:p>
    <w:p>
      <w:pPr>
        <w:pStyle w:val="68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Корпус ванны состоит из акрилового слоя и армирующего слоя из стекловолокна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8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Изделие поставляется в собранном виде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8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Функционал ванны: 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Вращающийся кран подачи холодной воды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Вращающийся кран подачи горячей воды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Клапан для переключения подачи воды на гусака и душ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Душевая лейка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Вращающийся кран для аэрации воды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Переключатель аэрации и озонирования воды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Отверстие для подачи воды в ванну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Круглый кран для слития воды из ванны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Кнопка включения питания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Кнопка включения аэрации воды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Кнопка включения освещения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Кнопка включения озонирования</w:t>
      </w:r>
      <w:r/>
    </w:p>
    <w:p>
      <w:pPr>
        <w:pStyle w:val="68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Сетчатый фильтр для предотвращения попадания шерсти в канализацию</w:t>
      </w:r>
      <w:r/>
    </w:p>
    <w:p>
      <w:pPr>
        <w:pStyle w:val="68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Отверстия для аэрации воды</w:t>
      </w:r>
      <w:r/>
    </w:p>
    <w:p>
      <w:pPr>
        <w:pStyle w:val="68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85"/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45280" cy="2725311"/>
                <wp:effectExtent l="0" t="0" r="7620" b="0"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289714" cy="282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26.4pt;height:214.6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Рис. 1. Функционал ванны.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78151" cy="2581275"/>
                <wp:effectExtent l="0" t="0" r="0" b="0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507299" cy="26799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66.0pt;height:203.2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 xml:space="preserve">2. Функционал</w:t>
      </w:r>
      <w:r>
        <w:rPr>
          <w:rFonts w:ascii="Times New Roman" w:hAnsi="Times New Roman" w:cs="Times New Roman"/>
          <w:sz w:val="24"/>
          <w:szCs w:val="24"/>
        </w:rPr>
        <w:t xml:space="preserve"> ванны.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57818" cy="2305050"/>
                <wp:effectExtent l="0" t="0" r="9525" b="0"/>
                <wp:docPr id="6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508500" cy="2338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72.3pt;height:181.5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  <w:t xml:space="preserve">Рис.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Функционал ванны</w:t>
      </w:r>
      <w:r/>
    </w:p>
    <w:p>
      <w:pPr>
        <w:pStyle w:val="685"/>
        <w:numPr>
          <w:ilvl w:val="0"/>
          <w:numId w:val="4"/>
        </w:numPr>
        <w:jc w:val="center"/>
        <w:spacing w:before="120" w:after="120" w:line="240" w:lineRule="auto"/>
        <w:tabs>
          <w:tab w:val="left" w:pos="1026" w:leader="none"/>
        </w:tabs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 xml:space="preserve">ТЕХНИЧЕСКИЕ ХАРАКТЕРИСТИКИ</w:t>
      </w: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 xml:space="preserve">.</w:t>
      </w:r>
      <w:r/>
    </w:p>
    <w:p>
      <w:pPr>
        <w:pStyle w:val="685"/>
        <w:numPr>
          <w:ilvl w:val="1"/>
          <w:numId w:val="4"/>
        </w:numPr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Технические характеристики изделия представлены в таблице ниже.</w:t>
      </w:r>
      <w:r/>
    </w:p>
    <w:tbl>
      <w:tblPr>
        <w:tblStyle w:val="687"/>
        <w:tblW w:w="6389" w:type="dxa"/>
        <w:tblInd w:w="442" w:type="dxa"/>
        <w:tblLook w:val="04A0" w:firstRow="1" w:lastRow="0" w:firstColumn="1" w:lastColumn="0" w:noHBand="0" w:noVBand="1"/>
      </w:tblPr>
      <w:tblGrid>
        <w:gridCol w:w="4206"/>
        <w:gridCol w:w="2183"/>
      </w:tblGrid>
      <w:tr>
        <w:trPr/>
        <w:tc>
          <w:tcPr>
            <w:tcW w:w="4206" w:type="dxa"/>
            <w:textDirection w:val="lrTb"/>
            <w:noWrap w:val="false"/>
          </w:tcPr>
          <w:p>
            <w:pPr>
              <w:ind w:right="25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Размер (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ДхШхВ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)</w:t>
            </w:r>
            <w:r/>
          </w:p>
        </w:tc>
        <w:tc>
          <w:tcPr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80 x 70 x 95 см</w:t>
            </w:r>
            <w:r/>
          </w:p>
        </w:tc>
      </w:tr>
      <w:tr>
        <w:trPr/>
        <w:tc>
          <w:tcPr>
            <w:tcW w:w="42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Внутренние габариты (Длина*Ширина*Высота)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72 x 52 x 40 см</w:t>
            </w:r>
            <w:r/>
          </w:p>
        </w:tc>
      </w:tr>
      <w:tr>
        <w:trPr/>
        <w:tc>
          <w:tcPr>
            <w:tcW w:w="42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ванны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/>
          </w:p>
        </w:tc>
      </w:tr>
      <w:tr>
        <w:trPr/>
        <w:tc>
          <w:tcPr>
            <w:tcW w:w="42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Масса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ванны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кг</w:t>
            </w:r>
            <w:r/>
          </w:p>
        </w:tc>
        <w:tc>
          <w:tcPr>
            <w:shd w:val="clear" w:color="auto" w:fill="auto"/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55</w:t>
            </w:r>
            <m:oMath>
              <m:r>
                <w:rPr>
                  <w:rFonts w:ascii="Cambria Math" w:hAnsi="Cambria Math" w:eastAsia="Times New Roman"/>
                  <w:sz w:val="24"/>
                  <w:szCs w:val="24"/>
                </w:rPr>
                <m:rPr/>
                <m:t>±</m:t>
              </m:r>
            </m:oMath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0,5</w:t>
            </w:r>
            <w:r/>
          </w:p>
        </w:tc>
      </w:tr>
      <w:tr>
        <w:trPr/>
        <w:tc>
          <w:tcPr>
            <w:tcW w:w="42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Максимально допустимая нагрузка, не более, кг</w:t>
            </w:r>
            <w:r/>
          </w:p>
        </w:tc>
        <w:tc>
          <w:tcPr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</w:t>
            </w:r>
            <m:oMath>
              <m:r>
                <w:rPr>
                  <w:rFonts w:ascii="Cambria Math" w:hAnsi="Cambria Math" w:eastAsia="Times New Roman"/>
                  <w:sz w:val="24"/>
                  <w:szCs w:val="24"/>
                </w:rPr>
                <m:rPr/>
                <m:t>±5</m:t>
              </m:r>
            </m:oMath>
            <w:r/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85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МЕРЫ БЕЗОПАСНОСТИ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  <w:t xml:space="preserve">Изделие должно эксплуатироваться на горизонтальной площадке.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Перед использованием необходимо убедиться в устойчивости изделия.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эксплуатации запрещается нагружать изделие весом, превышающем значение, установленное в настоящем паспорте.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  <w:t xml:space="preserve">Запрещается эксплуатация неисправного изделия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  <w:t xml:space="preserve">Запрещается внесение изменений в конструкцию изделия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несоблюдении вышеперечисленных требований фирма производитель не несет ответственности за возможные последствия.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/>
    </w:p>
    <w:p>
      <w:pPr>
        <w:pStyle w:val="685"/>
        <w:numPr>
          <w:ilvl w:val="0"/>
          <w:numId w:val="4"/>
        </w:numPr>
        <w:jc w:val="center"/>
        <w:spacing w:after="0" w:line="240" w:lineRule="auto"/>
        <w:tabs>
          <w:tab w:val="left" w:pos="1026" w:leader="none"/>
        </w:tabs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 xml:space="preserve">КОМПЛЕКТНОСТЬ</w:t>
      </w: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 xml:space="preserve">.</w:t>
      </w:r>
      <w:r/>
    </w:p>
    <w:p>
      <w:pPr>
        <w:pStyle w:val="685"/>
        <w:numPr>
          <w:ilvl w:val="1"/>
          <w:numId w:val="4"/>
        </w:numPr>
        <w:ind w:left="709" w:hanging="709"/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Поставляется в разобранном виде в составе</w:t>
      </w:r>
      <w:r/>
    </w:p>
    <w:tbl>
      <w:tblPr>
        <w:tblStyle w:val="689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1899"/>
        <w:gridCol w:w="1824"/>
        <w:gridCol w:w="3052"/>
      </w:tblGrid>
      <w:tr>
        <w:trPr>
          <w:jc w:val="center"/>
        </w:trPr>
        <w:tc>
          <w:tcPr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tcW w:w="2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Изображение</w:t>
            </w:r>
            <w:r/>
          </w:p>
        </w:tc>
      </w:tr>
      <w:tr>
        <w:trPr>
          <w:jc w:val="center"/>
          <w:trHeight w:val="2458"/>
        </w:trPr>
        <w:tc>
          <w:tcPr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Ванна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9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48"/>
                <w:szCs w:val="4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112395</wp:posOffset>
                      </wp:positionV>
                      <wp:extent cx="1592580" cy="2095500"/>
                      <wp:effectExtent l="0" t="0" r="7620" b="0"/>
                      <wp:wrapNone/>
                      <wp:docPr id="7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Рисунок 1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92580" cy="20955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z-index:251662336;o:allowoverlap:true;o:allowincell:true;mso-position-horizontal-relative:text;margin-left:5.8pt;mso-position-horizontal:absolute;mso-position-vertical-relative:text;margin-top:8.8pt;mso-position-vertical:absolute;width:125.4pt;height:165.0pt;mso-wrap-distance-left:9.0pt;mso-wrap-distance-top:0.0pt;mso-wrap-distance-right:9.0pt;mso-wrap-distance-bottom:0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</w:tr>
      <w:tr>
        <w:trPr>
          <w:jc w:val="center"/>
          <w:trHeight w:val="840"/>
        </w:trPr>
        <w:tc>
          <w:tcPr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Сифон с фильтром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9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840"/>
        </w:trPr>
        <w:tc>
          <w:tcPr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Паспорт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74"/>
        <w:numPr>
          <w:ilvl w:val="0"/>
          <w:numId w:val="4"/>
        </w:numPr>
        <w:jc w:val="center"/>
        <w:spacing w:before="120"/>
        <w:rPr>
          <w:rFonts w:ascii="Times New Roman" w:hAnsi="Times New Roman" w:eastAsia="Times New Roman" w:cs="Times New Roman"/>
          <w:b/>
          <w:bCs/>
          <w:cap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color w:val="auto"/>
          <w:sz w:val="24"/>
          <w:szCs w:val="24"/>
          <w:lang w:eastAsia="ru-RU"/>
        </w:rPr>
        <w:t xml:space="preserve">Указания по сборке</w:t>
      </w:r>
      <w:r>
        <w:rPr>
          <w:rFonts w:ascii="Times New Roman" w:hAnsi="Times New Roman" w:eastAsia="Times New Roman" w:cs="Times New Roman"/>
          <w:b/>
          <w:bCs/>
          <w:caps/>
          <w:color w:val="auto"/>
          <w:sz w:val="24"/>
          <w:szCs w:val="24"/>
          <w:lang w:eastAsia="ru-RU"/>
        </w:rPr>
        <w:t xml:space="preserve">.</w:t>
      </w:r>
      <w:r/>
    </w:p>
    <w:p>
      <w:pPr>
        <w:pStyle w:val="685"/>
        <w:numPr>
          <w:ilvl w:val="1"/>
          <w:numId w:val="4"/>
        </w:numPr>
        <w:ind w:left="0" w:firstLine="0"/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Распаковать изделие и проверить целостность покрытия и </w:t>
      </w:r>
      <w:r/>
    </w:p>
    <w:p>
      <w:pPr>
        <w:pStyle w:val="685"/>
        <w:ind w:left="0"/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проверить комплектность.</w:t>
      </w:r>
      <w:r/>
    </w:p>
    <w:p>
      <w:pPr>
        <w:pStyle w:val="685"/>
        <w:numPr>
          <w:ilvl w:val="1"/>
          <w:numId w:val="4"/>
        </w:numPr>
        <w:ind w:left="0" w:firstLine="0"/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Установите ванну, как показано на рисунке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 закручивайте гайки на шлангах слишком туго во избежание утечки воды</w:t>
      </w:r>
      <w:r/>
    </w:p>
    <w:p>
      <w:pPr>
        <w:pStyle w:val="685"/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pStyle w:val="685"/>
        <w:ind w:left="0"/>
        <w:jc w:val="center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06065" cy="2097371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867540" cy="2143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20.9pt;height:165.1pt;mso-wrap-distance-left:0.0pt;mso-wrap-distance-top:0.0pt;mso-wrap-distance-right:0.0pt;mso-wrap-distance-bottom:0.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Рис. 4. Установка ванны.</w:t>
      </w:r>
      <w:r/>
    </w:p>
    <w:p>
      <w:pPr>
        <w:pStyle w:val="685"/>
        <w:ind w:left="0"/>
        <w:jc w:val="center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pStyle w:val="685"/>
        <w:ind w:left="0"/>
        <w:jc w:val="center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05965" cy="2692319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030195" cy="27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57.9pt;height:212.0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685"/>
        <w:ind w:left="0"/>
        <w:jc w:val="center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Рис. 5. Установка ванны.</w:t>
      </w:r>
      <w:r/>
    </w:p>
    <w:p>
      <w:pPr>
        <w:pStyle w:val="685"/>
        <w:numPr>
          <w:ilvl w:val="0"/>
          <w:numId w:val="4"/>
        </w:numPr>
        <w:jc w:val="center"/>
        <w:keepNext/>
        <w:spacing w:before="120" w:after="12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РЕКОМЕНДАЦИИ ПО ЭКСПЛУАТАЦИИ.</w:t>
      </w:r>
      <w:r/>
    </w:p>
    <w:p>
      <w:pPr>
        <w:pStyle w:val="685"/>
        <w:numPr>
          <w:ilvl w:val="1"/>
          <w:numId w:val="4"/>
        </w:numPr>
        <w:ind w:left="0" w:firstLine="0"/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Покрытие, нанесенное на внешние поверхности элементов изделия, допускает проведение влажной уборки. Не допускается применение для уборки органических растворителей и моющих средств, содержащих абразивы.</w:t>
      </w:r>
      <w:r/>
    </w:p>
    <w:p>
      <w:pPr>
        <w:pStyle w:val="685"/>
        <w:numPr>
          <w:ilvl w:val="1"/>
          <w:numId w:val="4"/>
        </w:numPr>
        <w:ind w:left="709" w:hanging="709"/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Изделие необходимо оберегать от механических повреждений.</w:t>
      </w:r>
      <w:r/>
    </w:p>
    <w:p>
      <w:pPr>
        <w:pStyle w:val="685"/>
        <w:numPr>
          <w:ilvl w:val="1"/>
          <w:numId w:val="4"/>
        </w:numPr>
        <w:ind w:hanging="720"/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Запрещается допускать на рабочую поверхность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ванны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нагрузку, превышающую допустимую.</w:t>
      </w:r>
      <w:r/>
    </w:p>
    <w:p>
      <w:pPr>
        <w:pStyle w:val="690"/>
        <w:rPr>
          <w:lang w:eastAsia="ru-RU"/>
        </w:rPr>
      </w:pPr>
      <w:r>
        <w:rPr>
          <w:lang w:eastAsia="ru-RU"/>
        </w:rPr>
      </w:r>
      <w:r/>
    </w:p>
    <w:p>
      <w:pPr>
        <w:pStyle w:val="690"/>
        <w:rPr>
          <w:lang w:eastAsia="ru-RU"/>
        </w:rPr>
      </w:pPr>
      <w:r>
        <w:rPr>
          <w:lang w:eastAsia="ru-RU"/>
        </w:rPr>
      </w:r>
      <w:r/>
    </w:p>
    <w:p>
      <w:pPr>
        <w:pStyle w:val="690"/>
        <w:rPr>
          <w:lang w:eastAsia="ru-RU"/>
        </w:rPr>
      </w:pPr>
      <w:r>
        <w:rPr>
          <w:lang w:eastAsia="ru-RU"/>
        </w:rPr>
      </w:r>
      <w:r/>
    </w:p>
    <w:p>
      <w:pPr>
        <w:pStyle w:val="685"/>
        <w:numPr>
          <w:ilvl w:val="0"/>
          <w:numId w:val="4"/>
        </w:numPr>
        <w:jc w:val="center"/>
        <w:keepNext/>
        <w:spacing w:before="120" w:after="12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ПРАВИЛА ТРАНСПОРТИРОВКИ И ХРАНЕНИЯ</w:t>
      </w:r>
      <w:r/>
    </w:p>
    <w:p>
      <w:pPr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8.1.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Ванну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транспортируют всеми видами транспорта, в крытых транспортных средствах, в соответствии с требованиями ГОСТ Р 50444-92 и правилами перевозки грузов, действующими на каждом виде транспорта.</w:t>
      </w:r>
      <w:r/>
    </w:p>
    <w:p>
      <w:pPr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8.2.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Изделие в упаковке предприятия-изготовителя может транспортироваться крытыми транспортными средствами при температуре -50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оС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до +50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оС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без конденсации влаги.</w:t>
      </w:r>
      <w:r/>
    </w:p>
    <w:p>
      <w:pPr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8.3.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Транспортировка и хранение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ванны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без упаковки завода-изготовители не гарантирует сохранность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ванны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Повреждения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ванны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полученные в результате транспортировки или хранения без упаковки завода-изготовителя, устраняются потребителем.</w:t>
      </w:r>
      <w:r/>
    </w:p>
    <w:p>
      <w:pPr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8.4.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Хранение изделия должно обеспечиваться в сухих складских помещениях при температуре +5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оС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до +40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оС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 относительной влажности не более 80%, исключающих воздействие атмосферных осадков и агрессивных сред.</w:t>
      </w:r>
      <w:r/>
    </w:p>
    <w:p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/>
    </w:p>
    <w:p>
      <w:pPr>
        <w:pStyle w:val="685"/>
        <w:numPr>
          <w:ilvl w:val="0"/>
          <w:numId w:val="4"/>
        </w:numPr>
        <w:jc w:val="center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И УСЛОВИЯ УТИЛИЗАЦИИ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</w:t>
      </w:r>
      <w:r/>
    </w:p>
    <w:p>
      <w:pPr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9.1.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Ванна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не содержит вредных веществ и компонентов, представляющих опасность для здоровья людей и окружающей среды в процессе и после окончания срока службы и при утилизации.</w:t>
      </w:r>
      <w:r/>
    </w:p>
    <w:p>
      <w:pPr>
        <w:jc w:val="both"/>
        <w:keepNext/>
        <w:spacing w:before="120"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9.2.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Утилизация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ванны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осуществляется отдельно по группам материалов, согласно соответствующей нормативной документации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/>
    </w:p>
    <w:p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pStyle w:val="685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ГАРАНТИЙНЫЕ ОБЯЗАТЕЛЬСТВА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Предприятие-изготовит</w:t>
      </w:r>
      <w:r>
        <w:rPr>
          <w:rFonts w:ascii="Times New Roman" w:hAnsi="Times New Roman" w:cs="Times New Roman"/>
          <w:sz w:val="24"/>
          <w:szCs w:val="24"/>
        </w:rPr>
        <w:t xml:space="preserve">ель гарантирует надежную работу изделия при соблюдении потребителем условий транспортировки, сборки, эксплуатации, хранения и наличии гарантийного талона с отметкой торгующей организации о дате продажи. Гарантийный срок эксплуатации – 6  месяцев со дня продажи.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</w:t>
      </w:r>
      <w:r>
        <w:rPr>
          <w:rFonts w:ascii="Times New Roman" w:hAnsi="Times New Roman" w:cs="Times New Roman"/>
          <w:sz w:val="24"/>
          <w:szCs w:val="24"/>
        </w:rPr>
        <w:tab/>
        <w:t xml:space="preserve">Потребитель лишается права продажи в следующих случаях: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истечении срока гарантии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при наличии механических повреждений изделия по вине потребителя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при несоблюдении пунктов 4, 7, 8 настоящего паспорта.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при отсутствии паспорта изделия и при его не правильном заполнении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Предприятие-изготовитель оставляет за собой право вносить в конструкцию изделий изменения, связанные с внедрением новых материалов и технологий, направленных на повышение качества изделий.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/>
    </w:p>
    <w:p>
      <w:pPr>
        <w:pStyle w:val="685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СВИДЕТЕЛЬСТВО О ПРИЕМКЕ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Ванна для груминга SPA + функция OZON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техническим условиям и признано годным к эксплуатации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выпуска ____/_______________/20      г.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ответственного за приемку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/>
    </w:p>
    <w:p>
      <w:pPr>
        <w:pStyle w:val="685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ГАРАНТИЙНЫЙ ТАЛОН НА РЕМОНТ (ЗАМЕНУ) В ТЕЧЕНИЕ ГАРАНТИЙНОГО СРОКА</w:t>
      </w:r>
      <w:r/>
    </w:p>
    <w:tbl>
      <w:tblPr>
        <w:tblStyle w:val="688"/>
        <w:tblW w:w="0" w:type="auto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50"/>
        <w:gridCol w:w="5496"/>
      </w:tblGrid>
      <w:tr>
        <w:trPr/>
        <w:tc>
          <w:tcPr>
            <w:tcW w:w="1750" w:type="dxa"/>
            <w:vAlign w:val="center"/>
            <w:textDirection w:val="lrTb"/>
            <w:noWrap w:val="false"/>
          </w:tcPr>
          <w:p>
            <w:pPr>
              <w:pStyle w:val="690"/>
              <w:ind w:right="-91"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Изделие техники (наименование и тип)</w:t>
            </w:r>
            <w:r/>
          </w:p>
        </w:tc>
        <w:tc>
          <w:tcPr>
            <w:tcW w:w="5496" w:type="dxa"/>
            <w:vAlign w:val="center"/>
            <w:textDirection w:val="lrTb"/>
            <w:noWrap w:val="false"/>
          </w:tcPr>
          <w:p>
            <w:pPr>
              <w:pStyle w:val="690"/>
              <w:ind w:firstLine="0"/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Ванна для груминга SPA + функция OZON</w:t>
            </w:r>
            <w:r/>
          </w:p>
        </w:tc>
      </w:tr>
      <w:tr>
        <w:trPr/>
        <w:tc>
          <w:tcPr>
            <w:tcW w:w="1750" w:type="dxa"/>
            <w:vAlign w:val="center"/>
            <w:textDirection w:val="lrTb"/>
            <w:noWrap w:val="false"/>
          </w:tcPr>
          <w:p>
            <w:pPr>
              <w:pStyle w:val="690"/>
              <w:ind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690"/>
              <w:ind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690"/>
              <w:ind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Серийный номер</w:t>
            </w:r>
            <w:r/>
          </w:p>
        </w:tc>
        <w:tc>
          <w:tcPr>
            <w:tcW w:w="5496" w:type="dxa"/>
            <w:vAlign w:val="center"/>
            <w:textDirection w:val="lrTb"/>
            <w:noWrap w:val="false"/>
          </w:tcPr>
          <w:p>
            <w:pPr>
              <w:pStyle w:val="690"/>
              <w:ind w:firstLine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690"/>
              <w:ind w:firstLine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690"/>
              <w:ind w:firstLine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</w:t>
            </w:r>
            <w:r/>
          </w:p>
        </w:tc>
      </w:tr>
    </w:tbl>
    <w:p>
      <w:pPr>
        <w:pStyle w:val="690"/>
        <w:ind w:firstLine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 xml:space="preserve">Производитель: ООО «МПО МТП РУС»</w:t>
      </w:r>
      <w:r/>
    </w:p>
    <w:p>
      <w:pPr>
        <w:pStyle w:val="690"/>
        <w:ind w:firstLine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155523, Ивановская обл., г. Фурманов, ул. Д. Бедного, д. 31, офис 2</w:t>
      </w:r>
      <w:r/>
    </w:p>
    <w:p>
      <w:pPr>
        <w:pStyle w:val="690"/>
        <w:ind w:firstLine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Контакты: </w:t>
      </w:r>
      <w:r>
        <w:rPr>
          <w:sz w:val="24"/>
          <w:szCs w:val="24"/>
        </w:rPr>
        <w:t xml:space="preserve">+ 7 (499) 110 52 38, opt@wikizoo.ru</w:t>
      </w:r>
      <w:r/>
    </w:p>
    <w:p>
      <w:pPr>
        <w:pStyle w:val="690"/>
        <w:ind w:firstLine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90"/>
        <w:ind w:firstLine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90"/>
        <w:ind w:firstLine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Дата продажи ____/_______________/20      г.        М.П._____________________________________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(</w:t>
      </w:r>
      <w:r>
        <w:rPr>
          <w:sz w:val="24"/>
          <w:szCs w:val="24"/>
        </w:rPr>
        <w:t xml:space="preserve">подпись, штамп торгующей организации)</w:t>
      </w:r>
      <w:r/>
    </w:p>
    <w:sectPr>
      <w:footerReference w:type="default" r:id="rId9"/>
      <w:footnotePr/>
      <w:endnotePr/>
      <w:type w:val="nextPage"/>
      <w:pgSz w:w="8419" w:h="11906" w:orient="portrait"/>
      <w:pgMar w:top="1134" w:right="622" w:bottom="179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51621377"/>
      <w:docPartObj>
        <w:docPartGallery w:val="Page Numbers (Bottom of Page)"/>
        <w:docPartUnique w:val="true"/>
      </w:docPartObj>
      <w:rPr/>
    </w:sdtPr>
    <w:sdtContent>
      <w:p>
        <w:pPr>
          <w:pStyle w:val="68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6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6"/>
    <w:link w:val="67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0"/>
    <w:uiPriority w:val="99"/>
  </w:style>
  <w:style w:type="character" w:styleId="45">
    <w:name w:val="Footer Char"/>
    <w:basedOn w:val="676"/>
    <w:link w:val="682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2"/>
    <w:uiPriority w:val="99"/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75">
    <w:name w:val="Heading 2"/>
    <w:basedOn w:val="673"/>
    <w:next w:val="673"/>
    <w:link w:val="684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ighlighted"/>
    <w:basedOn w:val="676"/>
  </w:style>
  <w:style w:type="paragraph" w:styleId="680">
    <w:name w:val="Header"/>
    <w:basedOn w:val="673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6"/>
    <w:link w:val="680"/>
    <w:uiPriority w:val="99"/>
  </w:style>
  <w:style w:type="paragraph" w:styleId="682">
    <w:name w:val="Footer"/>
    <w:basedOn w:val="673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6"/>
    <w:link w:val="682"/>
    <w:uiPriority w:val="99"/>
  </w:style>
  <w:style w:type="character" w:styleId="684" w:customStyle="1">
    <w:name w:val="Заголовок 2 Знак"/>
    <w:basedOn w:val="676"/>
    <w:link w:val="67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85">
    <w:name w:val="List Paragraph"/>
    <w:basedOn w:val="673"/>
    <w:uiPriority w:val="34"/>
    <w:qFormat/>
    <w:pPr>
      <w:contextualSpacing/>
      <w:ind w:left="720"/>
    </w:pPr>
  </w:style>
  <w:style w:type="character" w:styleId="686" w:customStyle="1">
    <w:name w:val="Заголовок 1 Знак"/>
    <w:basedOn w:val="676"/>
    <w:link w:val="674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687" w:customStyle="1">
    <w:name w:val="Сетка таблицы17"/>
    <w:basedOn w:val="677"/>
    <w:next w:val="688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8">
    <w:name w:val="Table Grid"/>
    <w:basedOn w:val="6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Сетка таблицы18"/>
    <w:basedOn w:val="677"/>
    <w:next w:val="688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0" w:customStyle="1">
    <w:name w:val="!!!Текст абзаца"/>
    <w:basedOn w:val="673"/>
    <w:qFormat/>
    <w:pPr>
      <w:contextualSpacing/>
      <w:ind w:firstLine="709"/>
      <w:jc w:val="both"/>
      <w:spacing w:after="120" w:line="360" w:lineRule="auto"/>
    </w:pPr>
    <w:rPr>
      <w:rFonts w:ascii="Times New Roman" w:hAnsi="Times New Roman" w:eastAsia="Times New Roman" w:cs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jpg"/><Relationship Id="rId13" Type="http://schemas.openxmlformats.org/officeDocument/2006/relationships/image" Target="media/image4.png"/><Relationship Id="rId14" Type="http://schemas.openxmlformats.org/officeDocument/2006/relationships/image" Target="media/image5.jpg"/><Relationship Id="rId15" Type="http://schemas.openxmlformats.org/officeDocument/2006/relationships/image" Target="media/image6.png"/><Relationship Id="rId16" Type="http://schemas.openxmlformats.org/officeDocument/2006/relationships/image" Target="media/image7.jpg"/><Relationship Id="rId17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WIKIZOO.ru WIKIZOO.ru</cp:lastModifiedBy>
  <cp:revision>5</cp:revision>
  <dcterms:created xsi:type="dcterms:W3CDTF">2021-08-27T09:02:00Z</dcterms:created>
  <dcterms:modified xsi:type="dcterms:W3CDTF">2023-07-21T07:04:10Z</dcterms:modified>
</cp:coreProperties>
</file>